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8CBA">
      <w:pPr>
        <w:jc w:val="center"/>
        <w:rPr>
          <w:rFonts w:hint="eastAsia"/>
          <w:sz w:val="36"/>
          <w:szCs w:val="36"/>
          <w:u w:val="single"/>
          <w:lang w:val="en-US" w:eastAsia="zh-CN"/>
        </w:rPr>
      </w:pPr>
    </w:p>
    <w:p w14:paraId="2FD3C0F8">
      <w:pPr>
        <w:jc w:val="center"/>
        <w:rPr>
          <w:rFonts w:hint="eastAsia"/>
          <w:sz w:val="36"/>
          <w:szCs w:val="36"/>
          <w:u w:val="single"/>
          <w:lang w:val="en-US" w:eastAsia="zh-CN"/>
        </w:rPr>
      </w:pPr>
    </w:p>
    <w:p w14:paraId="33A368D8">
      <w:pPr>
        <w:jc w:val="center"/>
        <w:rPr>
          <w:rFonts w:hint="eastAsia"/>
          <w:sz w:val="36"/>
          <w:szCs w:val="36"/>
          <w:u w:val="single"/>
          <w:lang w:val="en-US" w:eastAsia="zh-CN"/>
        </w:rPr>
      </w:pPr>
    </w:p>
    <w:p w14:paraId="19B26B64">
      <w:pPr>
        <w:jc w:val="center"/>
        <w:rPr>
          <w:rFonts w:hint="eastAsia"/>
          <w:sz w:val="36"/>
          <w:szCs w:val="36"/>
          <w:u w:val="single"/>
          <w:lang w:val="en-US" w:eastAsia="zh-CN"/>
        </w:rPr>
      </w:pPr>
    </w:p>
    <w:p w14:paraId="618659D0">
      <w:pPr>
        <w:jc w:val="center"/>
        <w:rPr>
          <w:rFonts w:hint="eastAsia"/>
          <w:sz w:val="36"/>
          <w:szCs w:val="36"/>
          <w:u w:val="single"/>
          <w:lang w:val="en-US" w:eastAsia="zh-CN"/>
        </w:rPr>
      </w:pPr>
    </w:p>
    <w:p w14:paraId="72273ED4">
      <w:pPr>
        <w:jc w:val="both"/>
        <w:rPr>
          <w:rFonts w:hint="eastAsia"/>
          <w:sz w:val="36"/>
          <w:szCs w:val="36"/>
          <w:u w:val="single"/>
          <w:lang w:val="en-US" w:eastAsia="zh-CN"/>
        </w:rPr>
      </w:pPr>
    </w:p>
    <w:p w14:paraId="6A81EDB0">
      <w:pPr>
        <w:jc w:val="center"/>
        <w:rPr>
          <w:rFonts w:hint="eastAsia"/>
          <w:sz w:val="44"/>
          <w:szCs w:val="44"/>
          <w:u w:val="single"/>
          <w:lang w:val="en-US" w:eastAsia="zh-CN"/>
        </w:rPr>
      </w:pPr>
      <w:r>
        <w:rPr>
          <w:rFonts w:hint="eastAsia"/>
          <w:sz w:val="44"/>
          <w:szCs w:val="44"/>
          <w:u w:val="single"/>
          <w:lang w:val="en-US" w:eastAsia="zh-CN"/>
        </w:rPr>
        <w:t>“世纪梦想”豪华游轮装饰工程项目</w:t>
      </w:r>
    </w:p>
    <w:p w14:paraId="598C322C">
      <w:pPr>
        <w:jc w:val="center"/>
        <w:rPr>
          <w:rFonts w:hint="eastAsia"/>
          <w:b/>
          <w:bCs/>
          <w:sz w:val="36"/>
          <w:szCs w:val="36"/>
          <w:u w:val="none"/>
          <w:lang w:val="en-US" w:eastAsia="zh-CN"/>
        </w:rPr>
      </w:pPr>
      <w:r>
        <w:rPr>
          <w:rFonts w:hint="eastAsia"/>
          <w:b/>
          <w:bCs/>
          <w:sz w:val="44"/>
          <w:szCs w:val="44"/>
          <w:u w:val="none"/>
          <w:lang w:val="en-US" w:eastAsia="zh-CN"/>
        </w:rPr>
        <w:t>固定家具（全船公区）手册</w:t>
      </w:r>
    </w:p>
    <w:p w14:paraId="77D55FD6">
      <w:pPr>
        <w:jc w:val="center"/>
        <w:rPr>
          <w:rFonts w:hint="eastAsia"/>
          <w:b/>
          <w:bCs/>
          <w:sz w:val="36"/>
          <w:szCs w:val="36"/>
          <w:u w:val="none"/>
          <w:lang w:val="en-US" w:eastAsia="zh-CN"/>
        </w:rPr>
      </w:pPr>
    </w:p>
    <w:p w14:paraId="472FE2E3">
      <w:pPr>
        <w:jc w:val="center"/>
        <w:rPr>
          <w:rFonts w:ascii="Arial" w:hAnsi="Arial" w:eastAsia="Arial" w:cs="Arial"/>
          <w:i w:val="0"/>
          <w:iCs w:val="0"/>
          <w:caps w:val="0"/>
          <w:color w:val="333333"/>
          <w:spacing w:val="0"/>
          <w:sz w:val="36"/>
          <w:szCs w:val="36"/>
          <w:shd w:val="clear" w:fill="FFFFFF"/>
        </w:rPr>
      </w:pPr>
      <w:r>
        <w:rPr>
          <w:rFonts w:ascii="Arial" w:hAnsi="Arial" w:eastAsia="Arial" w:cs="Arial"/>
          <w:i w:val="0"/>
          <w:iCs w:val="0"/>
          <w:caps w:val="0"/>
          <w:color w:val="333333"/>
          <w:spacing w:val="0"/>
          <w:sz w:val="36"/>
          <w:szCs w:val="36"/>
          <w:shd w:val="clear" w:fill="FFFFFF"/>
        </w:rPr>
        <w:t>【</w:t>
      </w:r>
      <w:r>
        <w:rPr>
          <w:rFonts w:hint="eastAsia" w:ascii="Arial" w:hAnsi="Arial" w:eastAsia="宋体" w:cs="Arial"/>
          <w:i w:val="0"/>
          <w:iCs w:val="0"/>
          <w:caps w:val="0"/>
          <w:color w:val="333333"/>
          <w:spacing w:val="0"/>
          <w:sz w:val="36"/>
          <w:szCs w:val="36"/>
          <w:shd w:val="clear" w:fill="FFFFFF"/>
          <w:lang w:val="en-US" w:eastAsia="zh-CN"/>
        </w:rPr>
        <w:t>固定家具全船公区</w:t>
      </w:r>
      <w:r>
        <w:rPr>
          <w:rFonts w:ascii="Arial" w:hAnsi="Arial" w:eastAsia="Arial" w:cs="Arial"/>
          <w:i w:val="0"/>
          <w:iCs w:val="0"/>
          <w:caps w:val="0"/>
          <w:color w:val="333333"/>
          <w:spacing w:val="0"/>
          <w:sz w:val="36"/>
          <w:szCs w:val="36"/>
          <w:shd w:val="clear" w:fill="FFFFFF"/>
        </w:rPr>
        <w:t>】</w:t>
      </w:r>
    </w:p>
    <w:p w14:paraId="3DACCFBC">
      <w:pPr>
        <w:jc w:val="center"/>
        <w:rPr>
          <w:rFonts w:ascii="Arial" w:hAnsi="Arial" w:eastAsia="Arial" w:cs="Arial"/>
          <w:i w:val="0"/>
          <w:iCs w:val="0"/>
          <w:caps w:val="0"/>
          <w:color w:val="333333"/>
          <w:spacing w:val="0"/>
          <w:sz w:val="36"/>
          <w:szCs w:val="36"/>
          <w:shd w:val="clear" w:fill="FFFFFF"/>
        </w:rPr>
      </w:pPr>
    </w:p>
    <w:p w14:paraId="616A9C56">
      <w:pPr>
        <w:jc w:val="both"/>
        <w:rPr>
          <w:rFonts w:ascii="Arial" w:hAnsi="Arial" w:eastAsia="Arial" w:cs="Arial"/>
          <w:i w:val="0"/>
          <w:iCs w:val="0"/>
          <w:caps w:val="0"/>
          <w:color w:val="333333"/>
          <w:spacing w:val="0"/>
          <w:sz w:val="36"/>
          <w:szCs w:val="36"/>
          <w:shd w:val="clear" w:fill="FFFFFF"/>
        </w:rPr>
      </w:pPr>
    </w:p>
    <w:p w14:paraId="77D37FE6">
      <w:pPr>
        <w:jc w:val="center"/>
        <w:rPr>
          <w:rFonts w:ascii="Arial" w:hAnsi="Arial" w:eastAsia="Arial" w:cs="Arial"/>
          <w:i w:val="0"/>
          <w:iCs w:val="0"/>
          <w:caps w:val="0"/>
          <w:color w:val="333333"/>
          <w:spacing w:val="0"/>
          <w:sz w:val="36"/>
          <w:szCs w:val="36"/>
          <w:shd w:val="clear" w:fill="FFFFFF"/>
        </w:rPr>
      </w:pPr>
    </w:p>
    <w:p w14:paraId="4816F8EB">
      <w:pPr>
        <w:jc w:val="center"/>
        <w:rPr>
          <w:rFonts w:hint="eastAsia" w:ascii="Arial" w:hAnsi="Arial" w:eastAsia="宋体" w:cs="Arial"/>
          <w:i w:val="0"/>
          <w:iCs w:val="0"/>
          <w:caps w:val="0"/>
          <w:color w:val="333333"/>
          <w:spacing w:val="0"/>
          <w:sz w:val="36"/>
          <w:szCs w:val="36"/>
          <w:shd w:val="clear" w:fill="FFFFFF"/>
          <w:lang w:eastAsia="zh-CN"/>
        </w:rPr>
      </w:pPr>
    </w:p>
    <w:p w14:paraId="18E72BE8">
      <w:pPr>
        <w:jc w:val="center"/>
        <w:rPr>
          <w:rFonts w:hint="eastAsia" w:ascii="Arial" w:hAnsi="Arial" w:eastAsia="宋体" w:cs="Arial"/>
          <w:i w:val="0"/>
          <w:iCs w:val="0"/>
          <w:caps w:val="0"/>
          <w:color w:val="333333"/>
          <w:spacing w:val="0"/>
          <w:sz w:val="36"/>
          <w:szCs w:val="36"/>
          <w:shd w:val="clear" w:fill="FFFFFF"/>
          <w:lang w:eastAsia="zh-CN"/>
        </w:rPr>
      </w:pPr>
    </w:p>
    <w:p w14:paraId="107014D7">
      <w:pPr>
        <w:jc w:val="center"/>
        <w:rPr>
          <w:rFonts w:hint="eastAsia" w:ascii="Arial" w:hAnsi="Arial" w:eastAsia="宋体" w:cs="Arial"/>
          <w:i w:val="0"/>
          <w:iCs w:val="0"/>
          <w:caps w:val="0"/>
          <w:color w:val="333333"/>
          <w:spacing w:val="0"/>
          <w:sz w:val="36"/>
          <w:szCs w:val="36"/>
          <w:shd w:val="clear" w:fill="FFFFFF"/>
          <w:lang w:eastAsia="zh-CN"/>
        </w:rPr>
      </w:pPr>
    </w:p>
    <w:p w14:paraId="4EF022EB">
      <w:pPr>
        <w:jc w:val="center"/>
        <w:rPr>
          <w:rFonts w:ascii="Arial" w:hAnsi="Arial" w:eastAsia="Arial" w:cs="Arial"/>
          <w:i w:val="0"/>
          <w:iCs w:val="0"/>
          <w:caps w:val="0"/>
          <w:color w:val="333333"/>
          <w:spacing w:val="0"/>
          <w:sz w:val="36"/>
          <w:szCs w:val="36"/>
          <w:shd w:val="clear" w:fill="FFFFFF"/>
        </w:rPr>
      </w:pPr>
    </w:p>
    <w:p w14:paraId="5D657D85">
      <w:pPr>
        <w:jc w:val="both"/>
        <w:rPr>
          <w:rFonts w:ascii="Arial" w:hAnsi="Arial" w:eastAsia="Arial" w:cs="Arial"/>
          <w:i w:val="0"/>
          <w:iCs w:val="0"/>
          <w:caps w:val="0"/>
          <w:color w:val="333333"/>
          <w:spacing w:val="0"/>
          <w:sz w:val="36"/>
          <w:szCs w:val="36"/>
          <w:shd w:val="clear" w:fill="FFFFFF"/>
        </w:rPr>
      </w:pPr>
    </w:p>
    <w:p w14:paraId="55A7DBA8">
      <w:pPr>
        <w:jc w:val="center"/>
        <w:rPr>
          <w:rFonts w:ascii="Arial" w:hAnsi="Arial" w:eastAsia="Arial" w:cs="Arial"/>
          <w:i w:val="0"/>
          <w:iCs w:val="0"/>
          <w:caps w:val="0"/>
          <w:color w:val="333333"/>
          <w:spacing w:val="0"/>
          <w:sz w:val="36"/>
          <w:szCs w:val="36"/>
          <w:shd w:val="clear" w:fill="FFFFFF"/>
        </w:rPr>
      </w:pPr>
    </w:p>
    <w:p w14:paraId="59F88BCE">
      <w:pPr>
        <w:jc w:val="both"/>
        <w:rPr>
          <w:rFonts w:ascii="Arial" w:hAnsi="Arial" w:eastAsia="Arial" w:cs="Arial"/>
          <w:i w:val="0"/>
          <w:iCs w:val="0"/>
          <w:caps w:val="0"/>
          <w:color w:val="333333"/>
          <w:spacing w:val="0"/>
          <w:sz w:val="36"/>
          <w:szCs w:val="36"/>
          <w:shd w:val="clear" w:fill="FFFFFF"/>
        </w:rPr>
      </w:pPr>
    </w:p>
    <w:p w14:paraId="4DDD888E">
      <w:pPr>
        <w:jc w:val="center"/>
        <w:rPr>
          <w:rFonts w:hint="default"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8"/>
          <w:szCs w:val="28"/>
          <w:shd w:val="clear" w:fill="FFFFFF"/>
          <w:lang w:val="en-US" w:eastAsia="zh-CN"/>
        </w:rPr>
        <w:t>重庆冠达世纪游轮有限公司</w:t>
      </w:r>
    </w:p>
    <w:p w14:paraId="20910E3F">
      <w:pPr>
        <w:jc w:val="center"/>
        <w:rPr>
          <w:rFonts w:hint="eastAsia" w:ascii="Arial" w:hAnsi="Arial" w:eastAsia="宋体" w:cs="Arial"/>
          <w:i w:val="0"/>
          <w:iCs w:val="0"/>
          <w:caps w:val="0"/>
          <w:color w:val="333333"/>
          <w:spacing w:val="0"/>
          <w:sz w:val="36"/>
          <w:szCs w:val="36"/>
          <w:shd w:val="clear" w:fill="FFFFFF"/>
          <w:lang w:eastAsia="zh-CN"/>
        </w:rPr>
      </w:pPr>
      <w:r>
        <w:rPr>
          <w:rFonts w:hint="eastAsia" w:ascii="Arial" w:hAnsi="Arial" w:eastAsia="宋体" w:cs="Arial"/>
          <w:i w:val="0"/>
          <w:iCs w:val="0"/>
          <w:caps w:val="0"/>
          <w:color w:val="333333"/>
          <w:spacing w:val="0"/>
          <w:sz w:val="36"/>
          <w:szCs w:val="36"/>
          <w:shd w:val="clear" w:fill="FFFFFF"/>
          <w:lang w:eastAsia="zh-CN"/>
        </w:rPr>
        <w:drawing>
          <wp:inline distT="0" distB="0" distL="114300" distR="114300">
            <wp:extent cx="1301750" cy="339725"/>
            <wp:effectExtent l="0" t="0" r="12700" b="3175"/>
            <wp:docPr id="2" name="图片 2" descr="资源 1@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资源 1@3x"/>
                    <pic:cNvPicPr>
                      <a:picLocks noChangeAspect="1"/>
                    </pic:cNvPicPr>
                  </pic:nvPicPr>
                  <pic:blipFill>
                    <a:blip r:embed="rId5"/>
                    <a:stretch>
                      <a:fillRect/>
                    </a:stretch>
                  </pic:blipFill>
                  <pic:spPr>
                    <a:xfrm>
                      <a:off x="0" y="0"/>
                      <a:ext cx="1301750" cy="339725"/>
                    </a:xfrm>
                    <a:prstGeom prst="rect">
                      <a:avLst/>
                    </a:prstGeom>
                  </pic:spPr>
                </pic:pic>
              </a:graphicData>
            </a:graphic>
          </wp:inline>
        </w:drawing>
      </w:r>
    </w:p>
    <w:p w14:paraId="115A1D71">
      <w:pPr>
        <w:bidi w:val="0"/>
        <w:jc w:val="center"/>
        <w:rPr>
          <w:rFonts w:hint="eastAsia"/>
          <w:b/>
          <w:bCs/>
          <w:sz w:val="40"/>
          <w:szCs w:val="48"/>
        </w:rPr>
      </w:pPr>
      <w:r>
        <w:rPr>
          <w:rFonts w:hint="eastAsia"/>
          <w:b/>
          <w:bCs/>
          <w:sz w:val="40"/>
          <w:szCs w:val="48"/>
          <w:lang w:val="en-US" w:eastAsia="zh-CN"/>
        </w:rPr>
        <w:t>固定家具</w:t>
      </w:r>
      <w:r>
        <w:rPr>
          <w:rFonts w:hint="eastAsia"/>
          <w:b/>
          <w:bCs/>
          <w:sz w:val="40"/>
          <w:szCs w:val="48"/>
        </w:rPr>
        <w:t>技术说明</w:t>
      </w:r>
    </w:p>
    <w:p w14:paraId="5A5AE497">
      <w:pPr>
        <w:bidi w:val="0"/>
        <w:jc w:val="center"/>
        <w:rPr>
          <w:rFonts w:hint="default" w:ascii="Times New Roman" w:hAnsi="Times New Roman" w:cs="Times New Roman"/>
          <w:b/>
          <w:bCs/>
          <w:sz w:val="40"/>
          <w:szCs w:val="48"/>
        </w:rPr>
      </w:pPr>
      <w:r>
        <w:rPr>
          <w:rFonts w:hint="eastAsia" w:ascii="Times New Roman" w:hAnsi="Times New Roman" w:cs="Times New Roman"/>
          <w:b/>
          <w:bCs/>
          <w:sz w:val="40"/>
          <w:szCs w:val="48"/>
          <w:lang w:val="en-US" w:eastAsia="zh-CN"/>
        </w:rPr>
        <w:t>Fixed Furniture</w:t>
      </w:r>
      <w:r>
        <w:rPr>
          <w:rFonts w:hint="default" w:ascii="Times New Roman" w:hAnsi="Times New Roman" w:cs="Times New Roman"/>
          <w:b/>
          <w:bCs/>
          <w:sz w:val="40"/>
          <w:szCs w:val="48"/>
        </w:rPr>
        <w:t xml:space="preserve"> </w:t>
      </w:r>
      <w:r>
        <w:rPr>
          <w:rFonts w:hint="eastAsia" w:ascii="Times New Roman" w:hAnsi="Times New Roman" w:cs="Times New Roman"/>
          <w:b/>
          <w:bCs/>
          <w:sz w:val="40"/>
          <w:szCs w:val="48"/>
          <w:lang w:val="en-US" w:eastAsia="zh-CN"/>
        </w:rPr>
        <w:t>Technology</w:t>
      </w:r>
      <w:r>
        <w:rPr>
          <w:rFonts w:hint="default" w:ascii="Times New Roman" w:hAnsi="Times New Roman" w:cs="Times New Roman"/>
          <w:b/>
          <w:bCs/>
          <w:sz w:val="40"/>
          <w:szCs w:val="48"/>
        </w:rPr>
        <w:t xml:space="preserve"> </w:t>
      </w:r>
      <w:r>
        <w:rPr>
          <w:rFonts w:hint="eastAsia" w:ascii="Times New Roman" w:hAnsi="Times New Roman" w:cs="Times New Roman"/>
          <w:b/>
          <w:bCs/>
          <w:sz w:val="40"/>
          <w:szCs w:val="48"/>
          <w:lang w:val="en-US" w:eastAsia="zh-CN"/>
        </w:rPr>
        <w:t>Explain</w:t>
      </w:r>
    </w:p>
    <w:p w14:paraId="1B5C278D">
      <w:pPr>
        <w:bidi w:val="0"/>
        <w:jc w:val="center"/>
        <w:rPr>
          <w:rFonts w:hint="default" w:ascii="Times New Roman" w:hAnsi="Times New Roman" w:cs="Times New Roman"/>
          <w:b/>
          <w:bCs/>
          <w:sz w:val="40"/>
          <w:szCs w:val="48"/>
        </w:rPr>
      </w:pPr>
    </w:p>
    <w:p w14:paraId="4ABA8AB0">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1.产品制造商（销售商）承诺产品</w:t>
      </w:r>
      <w:r>
        <w:rPr>
          <w:rFonts w:hint="eastAsia" w:ascii="宋体" w:hAnsi="宋体" w:eastAsia="宋体" w:cs="宋体"/>
          <w:sz w:val="21"/>
          <w:szCs w:val="21"/>
        </w:rPr>
        <w:t>质量符合国家标准和行业标准，以及船级社认证相关规范要求（须提供CCS入级船检证书）。</w:t>
      </w:r>
    </w:p>
    <w:p w14:paraId="44A415EC">
      <w:pPr>
        <w:keepNext w:val="0"/>
        <w:keepLines w:val="0"/>
        <w:pageBreakBefore w:val="0"/>
        <w:widowControl/>
        <w:numPr>
          <w:ilvl w:val="0"/>
          <w:numId w:val="0"/>
        </w:numPr>
        <w:kinsoku/>
        <w:wordWrap/>
        <w:overflowPunct/>
        <w:topLinePunct w:val="0"/>
        <w:autoSpaceDE/>
        <w:autoSpaceDN/>
        <w:bidi w:val="0"/>
        <w:adjustRightInd w:val="0"/>
        <w:snapToGrid/>
        <w:spacing w:line="240" w:lineRule="auto"/>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1.The product manufacturer (seller) promises that the product quality meets national and industry standards, as well as the requirements of relevant regulations for classification society certification (CCS classification ship inspection certificate must be provided).</w:t>
      </w:r>
    </w:p>
    <w:p w14:paraId="72BF6229">
      <w:pPr>
        <w:widowControl/>
        <w:numPr>
          <w:ilvl w:val="0"/>
          <w:numId w:val="0"/>
        </w:numPr>
        <w:adjustRightInd w:val="0"/>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p>
    <w:p w14:paraId="7A9805D1">
      <w:pPr>
        <w:spacing w:line="240" w:lineRule="auto"/>
        <w:rPr>
          <w:rFonts w:hint="eastAsia"/>
          <w:lang w:val="en-US" w:eastAsia="zh-CN"/>
        </w:rPr>
      </w:pPr>
      <w:r>
        <w:rPr>
          <w:rFonts w:hint="eastAsia"/>
          <w:lang w:val="en-US" w:eastAsia="zh-CN"/>
        </w:rPr>
        <w:t>2.基层优质家具专用多层板，根据家具用料部位的不同而采用5mm-25mm不等的厚度，具体以世纪游轮确认图纸为准。材料环保等级必须达到E1级及以上。</w:t>
      </w:r>
    </w:p>
    <w:p w14:paraId="455788EE">
      <w:pPr>
        <w:widowControl/>
        <w:numPr>
          <w:ilvl w:val="0"/>
          <w:numId w:val="0"/>
        </w:numPr>
        <w:adjustRightInd w:val="0"/>
        <w:spacing w:line="240" w:lineRule="auto"/>
        <w:jc w:val="left"/>
        <w:rPr>
          <w:rFonts w:hint="default" w:ascii="Times New Roman" w:hAnsi="Times New Roman" w:eastAsia="宋体" w:cs="Times New Roman"/>
          <w:color w:val="333333"/>
          <w:sz w:val="22"/>
          <w:szCs w:val="22"/>
          <w:shd w:val="clear" w:color="auto" w:fill="FFFFFF"/>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2.High quality furniture specific multi-layer boards at the grassroots level are used with thicknesses ranging from 5mm to 25mm according to the different parts of the furniture materials used. The specific details are subject to the confirmed drawings of Century Cruise. The environmental protection level of materials must reach E1 level or above.</w:t>
      </w:r>
    </w:p>
    <w:p w14:paraId="54C96505">
      <w:pPr>
        <w:widowControl/>
        <w:numPr>
          <w:ilvl w:val="0"/>
          <w:numId w:val="0"/>
        </w:numPr>
        <w:adjustRightInd w:val="0"/>
        <w:spacing w:line="360" w:lineRule="auto"/>
        <w:jc w:val="left"/>
        <w:rPr>
          <w:rFonts w:hint="eastAsia" w:ascii="Times New Roman" w:hAnsi="Times New Roman" w:eastAsia="黑体" w:cs="Times New Roman"/>
          <w:color w:val="333333"/>
          <w:sz w:val="22"/>
          <w:szCs w:val="22"/>
          <w:shd w:val="clear" w:color="auto" w:fill="FFFFFF"/>
        </w:rPr>
      </w:pPr>
    </w:p>
    <w:p w14:paraId="3C4D34C7">
      <w:pPr>
        <w:spacing w:line="24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lang w:val="en-US" w:eastAsia="zh-CN"/>
        </w:rPr>
        <w:t>3.PVC封边条与防火板同纹理及接近颜色，厚度不低于1MM。</w:t>
      </w:r>
    </w:p>
    <w:p w14:paraId="30202EA2">
      <w:pPr>
        <w:widowControl/>
        <w:numPr>
          <w:ilvl w:val="0"/>
          <w:numId w:val="0"/>
        </w:numPr>
        <w:adjustRightInd w:val="0"/>
        <w:spacing w:line="240" w:lineRule="auto"/>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3.The PVC edge banding has the same texture and similar color as the fireproof board, with a thickness of not less than 1MM.</w:t>
      </w:r>
    </w:p>
    <w:p w14:paraId="014B7BA9">
      <w:pPr>
        <w:widowControl/>
        <w:numPr>
          <w:ilvl w:val="0"/>
          <w:numId w:val="0"/>
        </w:numPr>
        <w:adjustRightInd w:val="0"/>
        <w:spacing w:line="360" w:lineRule="auto"/>
        <w:jc w:val="left"/>
        <w:rPr>
          <w:rFonts w:hint="eastAsia" w:ascii="宋体" w:hAnsi="宋体" w:eastAsia="宋体" w:cs="宋体"/>
          <w:color w:val="000000" w:themeColor="text1"/>
          <w:sz w:val="21"/>
          <w:szCs w:val="21"/>
          <w14:textFill>
            <w14:solidFill>
              <w14:schemeClr w14:val="tx1"/>
            </w14:solidFill>
          </w14:textFill>
        </w:rPr>
      </w:pPr>
    </w:p>
    <w:p w14:paraId="34E12C36">
      <w:pPr>
        <w:keepNext w:val="0"/>
        <w:keepLines w:val="0"/>
        <w:pageBreakBefore w:val="0"/>
        <w:widowControl/>
        <w:numPr>
          <w:ilvl w:val="0"/>
          <w:numId w:val="0"/>
        </w:numPr>
        <w:kinsoku/>
        <w:wordWrap/>
        <w:overflowPunct/>
        <w:topLinePunct w:val="0"/>
        <w:autoSpaceDE/>
        <w:autoSpaceDN/>
        <w:bidi w:val="0"/>
        <w:adjustRightInd w:val="0"/>
        <w:snapToGrid/>
        <w:spacing w:line="240" w:lineRule="auto"/>
        <w:ind w:left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lang w:val="en-US" w:eastAsia="zh-CN"/>
        </w:rPr>
        <w:t>4.五金配件：海福乐品牌阻尼铰链，飞机合页品牌为海福乐或相近品牌。</w:t>
      </w:r>
    </w:p>
    <w:p w14:paraId="7B12418D">
      <w:pPr>
        <w:keepNext w:val="0"/>
        <w:keepLines w:val="0"/>
        <w:pageBreakBefore w:val="0"/>
        <w:widowControl/>
        <w:numPr>
          <w:ilvl w:val="0"/>
          <w:numId w:val="0"/>
        </w:numPr>
        <w:kinsoku/>
        <w:wordWrap/>
        <w:overflowPunct/>
        <w:topLinePunct w:val="0"/>
        <w:autoSpaceDE/>
        <w:autoSpaceDN/>
        <w:bidi w:val="0"/>
        <w:adjustRightInd w:val="0"/>
        <w:snapToGrid/>
        <w:spacing w:line="240" w:lineRule="auto"/>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 Hardware accessories: Haifule brand damping hinge, aircraft hinge brand is Haifule or similar brand.</w:t>
      </w:r>
    </w:p>
    <w:p w14:paraId="3C4CE085">
      <w:pPr>
        <w:widowControl/>
        <w:numPr>
          <w:ilvl w:val="0"/>
          <w:numId w:val="0"/>
        </w:numPr>
        <w:adjustRightInd w:val="0"/>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p>
    <w:p w14:paraId="2B0A5533">
      <w:pPr>
        <w:spacing w:line="240" w:lineRule="auto"/>
        <w:rPr>
          <w:rFonts w:hint="default"/>
          <w:lang w:val="en-US" w:eastAsia="zh-CN"/>
        </w:rPr>
      </w:pPr>
      <w:r>
        <w:rPr>
          <w:rFonts w:hint="eastAsia"/>
          <w:lang w:val="en-US" w:eastAsia="zh-CN"/>
        </w:rPr>
        <w:t>5.表面防火板颜色、纹理以样品为准，品牌为“富美家”、“万美士”（柜子内部及背板可以使用国产品牌防火板，颜色和纹理必须非常接近），厚度为0.7mm，防火板必须提供中国船级社认可的CCS证书，必须提供符合船检要求的防火等级达到船用低播焰等级的燃烧试验报告。</w:t>
      </w:r>
    </w:p>
    <w:p w14:paraId="2FF20BB0">
      <w:pPr>
        <w:keepNext w:val="0"/>
        <w:keepLines w:val="0"/>
        <w:pageBreakBefore w:val="0"/>
        <w:widowControl/>
        <w:numPr>
          <w:ilvl w:val="0"/>
          <w:numId w:val="0"/>
        </w:numPr>
        <w:kinsoku/>
        <w:wordWrap/>
        <w:overflowPunct/>
        <w:topLinePunct w:val="0"/>
        <w:autoSpaceDE/>
        <w:autoSpaceDN/>
        <w:bidi w:val="0"/>
        <w:adjustRightInd w:val="0"/>
        <w:snapToGrid/>
        <w:spacing w:line="240" w:lineRule="auto"/>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5.The color and texture of the surface fireproof board are based on the sample, and the brands are "Formica" and "Wanmeishi" (domestic brand fireproof boards can be used for the interior and back of the cabinet, and the color and texture must be very close). The thickness is 0.7mm. The fireproof board must provide a CCS certificate recognized by the China Classification Society, and a combustion test report that meets the ship inspection requirements and achieves the low flame level for marine use must be provided.</w:t>
      </w:r>
    </w:p>
    <w:p w14:paraId="47D5BBFF">
      <w:pPr>
        <w:numPr>
          <w:ilvl w:val="0"/>
          <w:numId w:val="0"/>
        </w:numPr>
        <w:adjustRightInd w:val="0"/>
        <w:spacing w:line="360" w:lineRule="auto"/>
        <w:rPr>
          <w:rFonts w:hint="eastAsia" w:ascii="宋体" w:hAnsi="宋体" w:eastAsia="宋体" w:cs="宋体"/>
          <w:color w:val="000000" w:themeColor="text1"/>
          <w:sz w:val="21"/>
          <w:szCs w:val="21"/>
          <w14:textFill>
            <w14:solidFill>
              <w14:schemeClr w14:val="tx1"/>
            </w14:solidFill>
          </w14:textFill>
        </w:rPr>
      </w:pPr>
      <w:bookmarkStart w:id="0" w:name="_GoBack"/>
      <w:bookmarkEnd w:id="0"/>
    </w:p>
    <w:p w14:paraId="2A92D5B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家具台面如有玻璃，</w:t>
      </w:r>
      <w:r>
        <w:rPr>
          <w:rFonts w:hint="eastAsia" w:ascii="宋体" w:hAnsi="宋体" w:eastAsia="宋体" w:cs="宋体"/>
          <w:color w:val="000000" w:themeColor="text1"/>
          <w:sz w:val="21"/>
          <w:szCs w:val="21"/>
          <w:lang w:val="en-US" w:eastAsia="zh-CN"/>
          <w14:textFill>
            <w14:solidFill>
              <w14:schemeClr w14:val="tx1"/>
            </w14:solidFill>
          </w14:textFill>
        </w:rPr>
        <w:t>配透明胶垫，</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玻璃要求钢化并磨边处理。</w:t>
      </w:r>
    </w:p>
    <w:p w14:paraId="70B1532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If there is glass on the furniture countertop, it should be equipped with transparent adhesive pads. The glass should be tempered and polished.</w:t>
      </w:r>
    </w:p>
    <w:p w14:paraId="38CC309A">
      <w:pPr>
        <w:widowControl w:val="0"/>
        <w:numPr>
          <w:ilvl w:val="0"/>
          <w:numId w:val="0"/>
        </w:numPr>
        <w:adjustRightInd w:val="0"/>
        <w:spacing w:line="240" w:lineRule="auto"/>
        <w:jc w:val="both"/>
        <w:rPr>
          <w:rFonts w:hint="eastAsia" w:ascii="宋体" w:hAnsi="宋体" w:eastAsia="宋体" w:cs="宋体"/>
          <w:sz w:val="21"/>
          <w:szCs w:val="21"/>
        </w:rPr>
      </w:pPr>
    </w:p>
    <w:p w14:paraId="5C4D8B9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所有大理石必须抛光，并且必须用大理石保护涂层密封表面或者其他类似产品。</w:t>
      </w:r>
    </w:p>
    <w:p w14:paraId="2E799EF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All marble must be polished and the surface must be sealed with a marble protective coating or other similar product.</w:t>
      </w:r>
    </w:p>
    <w:p w14:paraId="3D0080B3">
      <w:pPr>
        <w:widowControl w:val="0"/>
        <w:numPr>
          <w:ilvl w:val="0"/>
          <w:numId w:val="0"/>
        </w:numPr>
        <w:adjustRightInd w:val="0"/>
        <w:spacing w:line="360" w:lineRule="auto"/>
        <w:jc w:val="both"/>
        <w:rPr>
          <w:rFonts w:hint="eastAsia" w:ascii="宋体" w:hAnsi="宋体" w:eastAsia="宋体" w:cs="宋体"/>
          <w:sz w:val="21"/>
          <w:szCs w:val="21"/>
          <w:vertAlign w:val="subscript"/>
        </w:rPr>
      </w:pPr>
    </w:p>
    <w:p w14:paraId="0E671C5A">
      <w:pPr>
        <w:numPr>
          <w:ilvl w:val="0"/>
          <w:numId w:val="0"/>
        </w:numPr>
        <w:adjustRightInd w:val="0"/>
        <w:spacing w:line="24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8.所有焊接口应打磨抛光。</w:t>
      </w:r>
    </w:p>
    <w:p w14:paraId="73EF7089">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All welding joints should be polished and polished.</w:t>
      </w:r>
    </w:p>
    <w:p w14:paraId="6E12FC7B">
      <w:pPr>
        <w:numPr>
          <w:ilvl w:val="0"/>
          <w:numId w:val="0"/>
        </w:numPr>
        <w:spacing w:line="360" w:lineRule="auto"/>
        <w:jc w:val="left"/>
        <w:rPr>
          <w:rFonts w:hint="default" w:ascii="Times New Roman" w:hAnsi="Times New Roman" w:eastAsia="黑体" w:cs="Times New Roman"/>
          <w:color w:val="333333"/>
          <w:sz w:val="22"/>
          <w:szCs w:val="22"/>
          <w:shd w:val="clear" w:color="auto" w:fill="FFFFFF"/>
        </w:rPr>
      </w:pPr>
    </w:p>
    <w:p w14:paraId="7C2154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color w:val="333333"/>
          <w:sz w:val="21"/>
          <w:szCs w:val="21"/>
          <w:shd w:val="clear" w:color="auto" w:fill="FFFFFF"/>
          <w:lang w:val="en-US" w:eastAsia="zh-CN"/>
        </w:rPr>
      </w:pPr>
      <w:r>
        <w:rPr>
          <w:rFonts w:hint="eastAsia" w:ascii="Times New Roman" w:hAnsi="Times New Roman" w:eastAsia="宋体" w:cs="Times New Roman"/>
          <w:color w:val="333333"/>
          <w:sz w:val="21"/>
          <w:szCs w:val="21"/>
          <w:shd w:val="clear" w:color="auto" w:fill="FFFFFF"/>
          <w:lang w:val="en-US" w:eastAsia="zh-CN"/>
        </w:rPr>
        <w:t>9.</w:t>
      </w:r>
      <w:r>
        <w:rPr>
          <w:rFonts w:hint="default" w:ascii="Times New Roman" w:hAnsi="Times New Roman" w:eastAsia="宋体" w:cs="Times New Roman"/>
          <w:color w:val="333333"/>
          <w:sz w:val="21"/>
          <w:szCs w:val="21"/>
          <w:shd w:val="clear" w:color="auto" w:fill="FFFFFF"/>
          <w:lang w:val="en-US" w:eastAsia="zh-CN"/>
        </w:rPr>
        <w:t>所有室内家具金属应为304不锈钢</w:t>
      </w:r>
      <w:r>
        <w:rPr>
          <w:rFonts w:hint="eastAsia" w:ascii="Times New Roman" w:hAnsi="Times New Roman" w:eastAsia="宋体" w:cs="Times New Roman"/>
          <w:color w:val="333333"/>
          <w:sz w:val="21"/>
          <w:szCs w:val="21"/>
          <w:shd w:val="clear" w:color="auto" w:fill="FFFFFF"/>
          <w:lang w:val="en-US" w:eastAsia="zh-CN"/>
        </w:rPr>
        <w:t>并以防腐涂料密封，</w:t>
      </w:r>
      <w:r>
        <w:rPr>
          <w:rFonts w:hint="default" w:ascii="Times New Roman" w:hAnsi="Times New Roman" w:eastAsia="宋体" w:cs="Times New Roman"/>
          <w:color w:val="333333"/>
          <w:sz w:val="21"/>
          <w:szCs w:val="21"/>
          <w:shd w:val="clear" w:color="auto" w:fill="FFFFFF"/>
          <w:lang w:val="en-US" w:eastAsia="zh-CN"/>
        </w:rPr>
        <w:t>包边金属厚度须≥2mm，承重金属支架厚度≥12mm。</w:t>
      </w:r>
    </w:p>
    <w:p w14:paraId="4D5A1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color w:val="000000" w:themeColor="text1"/>
          <w:sz w:val="21"/>
          <w:szCs w:val="21"/>
          <w:shd w:val="clear" w:color="auto" w:fill="FFFFFF"/>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All indoor furniture metal should be 304 stainless steel and sealed with anti-corrosion coating. The thickness of the edge metal should be ≥ 2mm, and the thickness of the load-bearing metal bracket should be ≥ 12mm.</w:t>
      </w:r>
    </w:p>
    <w:p w14:paraId="3464F4E6">
      <w:pPr>
        <w:numPr>
          <w:ilvl w:val="0"/>
          <w:numId w:val="0"/>
        </w:numPr>
        <w:spacing w:line="360" w:lineRule="auto"/>
        <w:jc w:val="left"/>
        <w:rPr>
          <w:rFonts w:hint="eastAsia" w:ascii="宋体" w:hAnsi="宋体" w:eastAsia="宋体" w:cs="宋体"/>
          <w:color w:val="333333"/>
          <w:sz w:val="21"/>
          <w:szCs w:val="21"/>
          <w:shd w:val="clear" w:color="auto" w:fill="FFFFFF"/>
          <w:lang w:val="en-US" w:eastAsia="zh-CN"/>
        </w:rPr>
      </w:pPr>
    </w:p>
    <w:p w14:paraId="7F039DED">
      <w:pPr>
        <w:numPr>
          <w:ilvl w:val="0"/>
          <w:numId w:val="0"/>
        </w:numPr>
        <w:spacing w:line="240" w:lineRule="auto"/>
        <w:ind w:leftChars="0"/>
        <w:jc w:val="left"/>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10.所有材料不会出现生锈，腐蚀，生霉，腐烂，起壳，开裂，卷边及开叉等情况。</w:t>
      </w:r>
    </w:p>
    <w:p w14:paraId="1C715195">
      <w:pPr>
        <w:numPr>
          <w:ilvl w:val="0"/>
          <w:numId w:val="0"/>
        </w:numPr>
        <w:spacing w:line="240" w:lineRule="auto"/>
        <w:ind w:leftChars="0"/>
        <w:jc w:val="left"/>
        <w:rPr>
          <w:rFonts w:hint="default" w:ascii="Times New Roman" w:hAnsi="Times New Roman" w:eastAsia="宋体" w:cs="Times New Roman"/>
          <w:color w:val="333333"/>
          <w:sz w:val="21"/>
          <w:szCs w:val="21"/>
          <w:shd w:val="clear" w:color="auto" w:fill="FFFFFF"/>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All materials will not experience rusting, corrosion, mold growth, decay, peeling, cracking, curling, or splitting.</w:t>
      </w:r>
    </w:p>
    <w:p w14:paraId="371F4BBD">
      <w:pPr>
        <w:numPr>
          <w:ilvl w:val="0"/>
          <w:numId w:val="0"/>
        </w:numPr>
        <w:spacing w:line="360" w:lineRule="auto"/>
        <w:jc w:val="left"/>
        <w:rPr>
          <w:rFonts w:hint="eastAsia" w:ascii="宋体" w:hAnsi="宋体" w:eastAsia="宋体" w:cs="宋体"/>
          <w:color w:val="333333"/>
          <w:sz w:val="21"/>
          <w:szCs w:val="21"/>
          <w:shd w:val="clear" w:color="auto" w:fill="FFFFFF"/>
          <w:lang w:val="en-US" w:eastAsia="zh-CN"/>
        </w:rPr>
      </w:pPr>
    </w:p>
    <w:p w14:paraId="33E16D48">
      <w:pPr>
        <w:numPr>
          <w:ilvl w:val="0"/>
          <w:numId w:val="0"/>
        </w:numPr>
        <w:spacing w:line="240" w:lineRule="auto"/>
        <w:ind w:leftChars="0"/>
        <w:jc w:val="left"/>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11.制造前，制造商需提交深化图纸、每一种饰面材料样板（150mm*150mm）供世纪游轮审核确认。</w:t>
      </w:r>
    </w:p>
    <w:p w14:paraId="7EA12AC5">
      <w:pPr>
        <w:numPr>
          <w:ilvl w:val="0"/>
          <w:numId w:val="0"/>
        </w:numPr>
        <w:spacing w:line="240" w:lineRule="auto"/>
        <w:ind w:leftChars="0"/>
        <w:jc w:val="left"/>
        <w:rPr>
          <w:rFonts w:hint="default" w:ascii="Times New Roman" w:hAnsi="Times New Roman" w:eastAsia="宋体" w:cs="Times New Roman"/>
          <w:color w:val="333333"/>
          <w:sz w:val="21"/>
          <w:szCs w:val="21"/>
          <w:shd w:val="clear" w:color="auto" w:fill="FFFFFF"/>
          <w:lang w:val="en-US" w:eastAsia="zh-CN"/>
        </w:rPr>
      </w:pPr>
      <w:r>
        <w:rPr>
          <w:rFonts w:hint="eastAsia" w:ascii="Times New Roman" w:hAnsi="Times New Roman" w:eastAsia="宋体" w:cs="Times New Roman"/>
          <w:color w:val="333333"/>
          <w:sz w:val="21"/>
          <w:szCs w:val="21"/>
          <w:shd w:val="clear" w:color="auto" w:fill="FFFFFF"/>
          <w:lang w:val="en-US" w:eastAsia="zh-CN"/>
        </w:rPr>
        <w:t>11.</w:t>
      </w:r>
      <w:r>
        <w:rPr>
          <w:rFonts w:hint="default" w:ascii="Times New Roman" w:hAnsi="Times New Roman" w:eastAsia="宋体" w:cs="Times New Roman"/>
          <w:color w:val="333333"/>
          <w:sz w:val="21"/>
          <w:szCs w:val="21"/>
          <w:shd w:val="clear" w:color="auto" w:fill="FFFFFF"/>
          <w:lang w:val="en-US" w:eastAsia="zh-CN"/>
        </w:rPr>
        <w:t>Before manufacturing, the manufacturer needs to submit detailed drawings and samples of each decorative material (150mm * 150mm) for Century Cruise's review and confirmation.</w:t>
      </w:r>
    </w:p>
    <w:p w14:paraId="3C9F9CF8">
      <w:pPr>
        <w:widowControl w:val="0"/>
        <w:numPr>
          <w:ilvl w:val="0"/>
          <w:numId w:val="0"/>
        </w:numPr>
        <w:spacing w:line="360" w:lineRule="auto"/>
        <w:ind w:leftChars="0"/>
        <w:jc w:val="left"/>
        <w:rPr>
          <w:rFonts w:hint="eastAsia" w:ascii="Times New Roman" w:hAnsi="Times New Roman" w:eastAsia="宋体" w:cs="Times New Roman"/>
          <w:color w:val="333333"/>
          <w:sz w:val="21"/>
          <w:szCs w:val="21"/>
          <w:shd w:val="clear" w:color="auto" w:fill="FFFFFF"/>
          <w:lang w:val="en-US" w:eastAsia="zh-CN"/>
        </w:rPr>
      </w:pPr>
    </w:p>
    <w:p w14:paraId="2CB7114F">
      <w:pPr>
        <w:widowControl w:val="0"/>
        <w:numPr>
          <w:ilvl w:val="0"/>
          <w:numId w:val="0"/>
        </w:numPr>
        <w:spacing w:line="240" w:lineRule="auto"/>
        <w:ind w:leftChars="0"/>
        <w:jc w:val="left"/>
        <w:rPr>
          <w:rFonts w:hint="eastAsia" w:ascii="Times New Roman" w:hAnsi="Times New Roman" w:eastAsia="宋体" w:cs="Times New Roman"/>
          <w:color w:val="333333"/>
          <w:sz w:val="21"/>
          <w:szCs w:val="21"/>
          <w:shd w:val="clear" w:color="auto" w:fill="FFFFFF"/>
          <w:lang w:val="en-US" w:eastAsia="zh-CN"/>
        </w:rPr>
      </w:pPr>
      <w:r>
        <w:rPr>
          <w:rFonts w:hint="eastAsia" w:ascii="Times New Roman" w:hAnsi="Times New Roman" w:eastAsia="宋体" w:cs="Times New Roman"/>
          <w:color w:val="333333"/>
          <w:sz w:val="21"/>
          <w:szCs w:val="21"/>
          <w:shd w:val="clear" w:color="auto" w:fill="FFFFFF"/>
          <w:lang w:val="en-US" w:eastAsia="zh-CN"/>
        </w:rPr>
        <w:t>12.按照等比例实样的优化需要，尺寸将有所调整。</w:t>
      </w:r>
    </w:p>
    <w:p w14:paraId="4E612D2F">
      <w:pPr>
        <w:widowControl w:val="0"/>
        <w:numPr>
          <w:ilvl w:val="0"/>
          <w:numId w:val="0"/>
        </w:numPr>
        <w:spacing w:line="240" w:lineRule="auto"/>
        <w:ind w:leftChars="0"/>
        <w:jc w:val="left"/>
        <w:rPr>
          <w:rFonts w:hint="eastAsia" w:ascii="Times New Roman" w:hAnsi="Times New Roman" w:eastAsia="宋体" w:cs="Times New Roman"/>
          <w:color w:val="333333"/>
          <w:sz w:val="21"/>
          <w:szCs w:val="21"/>
          <w:shd w:val="clear" w:color="auto" w:fill="FFFFFF"/>
          <w:lang w:val="en-US" w:eastAsia="zh-CN"/>
        </w:rPr>
      </w:pPr>
      <w:r>
        <w:rPr>
          <w:rFonts w:hint="eastAsia" w:ascii="Times New Roman" w:hAnsi="Times New Roman" w:eastAsia="宋体" w:cs="Times New Roman"/>
          <w:color w:val="333333"/>
          <w:sz w:val="21"/>
          <w:szCs w:val="21"/>
          <w:shd w:val="clear" w:color="auto" w:fill="FFFFFF"/>
          <w:lang w:val="en-US" w:eastAsia="zh-CN"/>
        </w:rPr>
        <w:t>12.According to the optimization requirements of proportional real samples, the size will be adjusted accordingly.</w:t>
      </w:r>
    </w:p>
    <w:p w14:paraId="0BFE08E7">
      <w:pPr>
        <w:widowControl w:val="0"/>
        <w:numPr>
          <w:ilvl w:val="0"/>
          <w:numId w:val="0"/>
        </w:numPr>
        <w:adjustRightInd w:val="0"/>
        <w:spacing w:line="360" w:lineRule="auto"/>
        <w:ind w:leftChars="0"/>
        <w:jc w:val="both"/>
        <w:rPr>
          <w:rFonts w:hint="eastAsia" w:ascii="宋体" w:hAnsi="宋体" w:eastAsia="宋体" w:cs="宋体"/>
          <w:sz w:val="21"/>
          <w:szCs w:val="21"/>
          <w:lang w:val="en-US" w:eastAsia="zh-CN"/>
        </w:rPr>
      </w:pPr>
    </w:p>
    <w:p w14:paraId="74107624">
      <w:pPr>
        <w:widowControl w:val="0"/>
        <w:numPr>
          <w:ilvl w:val="0"/>
          <w:numId w:val="0"/>
        </w:numPr>
        <w:adjustRightInd w:val="0"/>
        <w:spacing w:line="240" w:lineRule="auto"/>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13.厂商应在批量生产前提交打样样品。</w:t>
      </w:r>
    </w:p>
    <w:p w14:paraId="170A83A1">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lang w:val="en-US" w:eastAsia="zh-CN"/>
        </w:rPr>
        <w:t>Manufacturers should submit sampling samples before mass production</w:t>
      </w:r>
      <w:r>
        <w:rPr>
          <w:rFonts w:hint="eastAsia" w:ascii="Times New Roman" w:hAnsi="Times New Roman" w:eastAsia="宋体" w:cs="Times New Roman"/>
          <w:sz w:val="21"/>
          <w:szCs w:val="21"/>
          <w:lang w:val="en-US" w:eastAsia="zh-CN"/>
        </w:rPr>
        <w:t>.</w:t>
      </w:r>
    </w:p>
    <w:p w14:paraId="4B5886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both"/>
        <w:textAlignment w:val="auto"/>
        <w:rPr>
          <w:rFonts w:hint="eastAsia" w:ascii="Times New Roman" w:hAnsi="Times New Roman" w:eastAsia="宋体" w:cs="Times New Roman"/>
          <w:sz w:val="21"/>
          <w:szCs w:val="21"/>
          <w:lang w:val="en-US" w:eastAsia="zh-CN"/>
        </w:rPr>
      </w:pPr>
    </w:p>
    <w:p w14:paraId="752D90C4">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14.每款产品应保证其稳性。</w:t>
      </w:r>
    </w:p>
    <w:p w14:paraId="196A822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r>
        <w:rPr>
          <w:rFonts w:hint="default" w:ascii="Times New Roman" w:hAnsi="Times New Roman" w:eastAsia="宋体" w:cs="Times New Roman"/>
          <w:sz w:val="21"/>
          <w:szCs w:val="21"/>
          <w:lang w:val="en-US" w:eastAsia="zh-CN"/>
        </w:rPr>
        <w:t>Each product should ensure its stability</w:t>
      </w:r>
      <w:r>
        <w:rPr>
          <w:rFonts w:hint="eastAsia" w:ascii="Times New Roman" w:hAnsi="Times New Roman" w:eastAsia="宋体" w:cs="Times New Roman"/>
          <w:sz w:val="21"/>
          <w:szCs w:val="21"/>
          <w:lang w:val="en-US" w:eastAsia="zh-CN"/>
        </w:rPr>
        <w:t>.</w:t>
      </w:r>
    </w:p>
    <w:p w14:paraId="04424206">
      <w:pPr>
        <w:widowControl w:val="0"/>
        <w:numPr>
          <w:ilvl w:val="0"/>
          <w:numId w:val="0"/>
        </w:numPr>
        <w:adjustRightInd w:val="0"/>
        <w:spacing w:line="360" w:lineRule="auto"/>
        <w:ind w:leftChars="0"/>
        <w:jc w:val="both"/>
        <w:rPr>
          <w:rFonts w:hint="eastAsia" w:ascii="宋体" w:hAnsi="宋体" w:eastAsia="宋体" w:cs="宋体"/>
          <w:sz w:val="21"/>
          <w:szCs w:val="21"/>
          <w:lang w:val="en-US" w:eastAsia="zh-CN"/>
        </w:rPr>
      </w:pPr>
    </w:p>
    <w:p w14:paraId="3881D3E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lang w:val="en-US" w:eastAsia="zh-CN"/>
        </w:rPr>
        <w:t>产品制造商（销售商）必须确保产品无任何质量问题，并承诺在客户验收一年内对存在问题的所有产品或零件提供免费更换服务，所有产品必须达到合同规定的质量标准，并且适用于商业用途。</w:t>
      </w:r>
    </w:p>
    <w:p w14:paraId="642AF89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lang w:val="en-US" w:eastAsia="zh-CN"/>
        </w:rPr>
        <w:t>The product manufacturer (seller) must ensure that the product has no quality problems and promise to provide free replacement services for all products or parts with problems within one year of customer acceptance. All products must meet the quality standards specified in the contract and be suitable for commercial use.</w:t>
      </w:r>
    </w:p>
    <w:p w14:paraId="66FDE857">
      <w:pPr>
        <w:spacing w:line="360" w:lineRule="auto"/>
        <w:jc w:val="left"/>
        <w:rPr>
          <w:rFonts w:hint="eastAsia" w:ascii="黑体" w:hAnsi="黑体" w:eastAsia="黑体" w:cs="黑体"/>
          <w:b w:val="0"/>
          <w:bCs w:val="0"/>
          <w:i w:val="0"/>
          <w:iCs w:val="0"/>
          <w:caps w:val="0"/>
          <w:color w:val="333333"/>
          <w:spacing w:val="0"/>
          <w:sz w:val="18"/>
          <w:szCs w:val="18"/>
          <w:shd w:val="clear" w:fill="FFFFFF"/>
          <w:lang w:val="en-US" w:eastAsia="zh-CN"/>
        </w:rPr>
      </w:pPr>
      <w:r>
        <w:rPr>
          <w:rFonts w:hint="eastAsia" w:ascii="黑体" w:hAnsi="黑体" w:eastAsia="黑体" w:cs="黑体"/>
          <w:color w:val="333333"/>
          <w:sz w:val="30"/>
          <w:szCs w:val="30"/>
          <w:shd w:val="clear" w:color="auto" w:fill="FFFFFF"/>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60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3D8D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A33D8D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846B5"/>
    <w:rsid w:val="000E57F5"/>
    <w:rsid w:val="00103897"/>
    <w:rsid w:val="00D23242"/>
    <w:rsid w:val="00E40880"/>
    <w:rsid w:val="013F0DD7"/>
    <w:rsid w:val="01455237"/>
    <w:rsid w:val="01497B50"/>
    <w:rsid w:val="01AB64CC"/>
    <w:rsid w:val="01D803E5"/>
    <w:rsid w:val="01E07299"/>
    <w:rsid w:val="01ED10DF"/>
    <w:rsid w:val="022D682E"/>
    <w:rsid w:val="025A14BA"/>
    <w:rsid w:val="02630127"/>
    <w:rsid w:val="02A824AD"/>
    <w:rsid w:val="02FC3AB3"/>
    <w:rsid w:val="037C1244"/>
    <w:rsid w:val="037E4FBC"/>
    <w:rsid w:val="03805DF1"/>
    <w:rsid w:val="03930685"/>
    <w:rsid w:val="03E868D9"/>
    <w:rsid w:val="0412787C"/>
    <w:rsid w:val="04152DE3"/>
    <w:rsid w:val="04230AD7"/>
    <w:rsid w:val="042463C9"/>
    <w:rsid w:val="048F4874"/>
    <w:rsid w:val="049305F5"/>
    <w:rsid w:val="04BF3ADE"/>
    <w:rsid w:val="04C82992"/>
    <w:rsid w:val="054D10C0"/>
    <w:rsid w:val="05663F59"/>
    <w:rsid w:val="059A1024"/>
    <w:rsid w:val="05C73EC3"/>
    <w:rsid w:val="06316E79"/>
    <w:rsid w:val="064047AA"/>
    <w:rsid w:val="066F6E3E"/>
    <w:rsid w:val="067E63E6"/>
    <w:rsid w:val="068B24DF"/>
    <w:rsid w:val="07085CB9"/>
    <w:rsid w:val="071719AF"/>
    <w:rsid w:val="0754675F"/>
    <w:rsid w:val="077741FC"/>
    <w:rsid w:val="0795195B"/>
    <w:rsid w:val="07C03DF5"/>
    <w:rsid w:val="07DF69CA"/>
    <w:rsid w:val="07EB25F2"/>
    <w:rsid w:val="07FA71B6"/>
    <w:rsid w:val="083645E6"/>
    <w:rsid w:val="08386081"/>
    <w:rsid w:val="0854504A"/>
    <w:rsid w:val="087B5FB5"/>
    <w:rsid w:val="08B547B7"/>
    <w:rsid w:val="08EC0C19"/>
    <w:rsid w:val="090C16DB"/>
    <w:rsid w:val="092F592E"/>
    <w:rsid w:val="09797B95"/>
    <w:rsid w:val="0A391F94"/>
    <w:rsid w:val="0A732097"/>
    <w:rsid w:val="0B347528"/>
    <w:rsid w:val="0B9F01C5"/>
    <w:rsid w:val="0C3674AA"/>
    <w:rsid w:val="0C434FF4"/>
    <w:rsid w:val="0CE40585"/>
    <w:rsid w:val="0D7348C3"/>
    <w:rsid w:val="0D780CCE"/>
    <w:rsid w:val="0D8C08E1"/>
    <w:rsid w:val="0D933D59"/>
    <w:rsid w:val="0DA95F13"/>
    <w:rsid w:val="0E26697C"/>
    <w:rsid w:val="0E2B0AEE"/>
    <w:rsid w:val="0E4A2D91"/>
    <w:rsid w:val="0EA03240"/>
    <w:rsid w:val="0EA95F66"/>
    <w:rsid w:val="0EB65F51"/>
    <w:rsid w:val="0EE33D13"/>
    <w:rsid w:val="0F753717"/>
    <w:rsid w:val="10257C13"/>
    <w:rsid w:val="102B2962"/>
    <w:rsid w:val="10CF43FE"/>
    <w:rsid w:val="10D00FB4"/>
    <w:rsid w:val="11076F85"/>
    <w:rsid w:val="118041DE"/>
    <w:rsid w:val="119F5C2A"/>
    <w:rsid w:val="11BB73DB"/>
    <w:rsid w:val="12091866"/>
    <w:rsid w:val="126D6259"/>
    <w:rsid w:val="128B2E30"/>
    <w:rsid w:val="12C02EFB"/>
    <w:rsid w:val="12D74C26"/>
    <w:rsid w:val="131B45D5"/>
    <w:rsid w:val="133E02C4"/>
    <w:rsid w:val="13655850"/>
    <w:rsid w:val="13CB5FFB"/>
    <w:rsid w:val="13DF7709"/>
    <w:rsid w:val="14684AA6"/>
    <w:rsid w:val="14787805"/>
    <w:rsid w:val="14D95FEC"/>
    <w:rsid w:val="15453B8B"/>
    <w:rsid w:val="1562419E"/>
    <w:rsid w:val="158C1C8A"/>
    <w:rsid w:val="168250DA"/>
    <w:rsid w:val="16946B78"/>
    <w:rsid w:val="16BF0743"/>
    <w:rsid w:val="16D01B7A"/>
    <w:rsid w:val="16D30CCA"/>
    <w:rsid w:val="172E1505"/>
    <w:rsid w:val="173037AF"/>
    <w:rsid w:val="174A0933"/>
    <w:rsid w:val="17506B35"/>
    <w:rsid w:val="17D957C7"/>
    <w:rsid w:val="18281456"/>
    <w:rsid w:val="18292EE1"/>
    <w:rsid w:val="18335F1D"/>
    <w:rsid w:val="18565F4A"/>
    <w:rsid w:val="185F4F64"/>
    <w:rsid w:val="18746C7D"/>
    <w:rsid w:val="18757170"/>
    <w:rsid w:val="187D022E"/>
    <w:rsid w:val="18A230A3"/>
    <w:rsid w:val="19805809"/>
    <w:rsid w:val="19A215AC"/>
    <w:rsid w:val="19D84FCE"/>
    <w:rsid w:val="19E25E4D"/>
    <w:rsid w:val="19E82D37"/>
    <w:rsid w:val="19F20F69"/>
    <w:rsid w:val="19F73BA5"/>
    <w:rsid w:val="1AA92994"/>
    <w:rsid w:val="1B0D6EF9"/>
    <w:rsid w:val="1BDA29C3"/>
    <w:rsid w:val="1C88643E"/>
    <w:rsid w:val="1CD06430"/>
    <w:rsid w:val="1CEF5417"/>
    <w:rsid w:val="1D5718B5"/>
    <w:rsid w:val="1D7768AC"/>
    <w:rsid w:val="1D824774"/>
    <w:rsid w:val="1DB049B8"/>
    <w:rsid w:val="1DB734DF"/>
    <w:rsid w:val="1E111A57"/>
    <w:rsid w:val="1F1E5E87"/>
    <w:rsid w:val="1F5033B8"/>
    <w:rsid w:val="1FC02105"/>
    <w:rsid w:val="200922B3"/>
    <w:rsid w:val="202645B9"/>
    <w:rsid w:val="20312F32"/>
    <w:rsid w:val="205B2C9C"/>
    <w:rsid w:val="20833D38"/>
    <w:rsid w:val="20D54509"/>
    <w:rsid w:val="212E567E"/>
    <w:rsid w:val="216A2D07"/>
    <w:rsid w:val="219E4D4F"/>
    <w:rsid w:val="22525B39"/>
    <w:rsid w:val="225F7B97"/>
    <w:rsid w:val="22BD2FB3"/>
    <w:rsid w:val="22C205C2"/>
    <w:rsid w:val="23641680"/>
    <w:rsid w:val="236E24FF"/>
    <w:rsid w:val="23841D23"/>
    <w:rsid w:val="24491954"/>
    <w:rsid w:val="245142FB"/>
    <w:rsid w:val="26AF1222"/>
    <w:rsid w:val="26CF6D27"/>
    <w:rsid w:val="27343A60"/>
    <w:rsid w:val="277532C7"/>
    <w:rsid w:val="277D239A"/>
    <w:rsid w:val="27B51658"/>
    <w:rsid w:val="27E8572D"/>
    <w:rsid w:val="27EC31AA"/>
    <w:rsid w:val="28042D70"/>
    <w:rsid w:val="28300F94"/>
    <w:rsid w:val="283755B5"/>
    <w:rsid w:val="283E2079"/>
    <w:rsid w:val="28C938CA"/>
    <w:rsid w:val="29184EF3"/>
    <w:rsid w:val="299D58EC"/>
    <w:rsid w:val="2A8F5421"/>
    <w:rsid w:val="2AAF479F"/>
    <w:rsid w:val="2AF91248"/>
    <w:rsid w:val="2AFC6280"/>
    <w:rsid w:val="2B042D08"/>
    <w:rsid w:val="2B534A73"/>
    <w:rsid w:val="2B6F150A"/>
    <w:rsid w:val="2C00021E"/>
    <w:rsid w:val="2C2B5431"/>
    <w:rsid w:val="2CA749D1"/>
    <w:rsid w:val="2CF15C51"/>
    <w:rsid w:val="2DBE22D5"/>
    <w:rsid w:val="2E2E1209"/>
    <w:rsid w:val="2E693FEF"/>
    <w:rsid w:val="2E881D30"/>
    <w:rsid w:val="2F47246B"/>
    <w:rsid w:val="2F745341"/>
    <w:rsid w:val="2F8D69FC"/>
    <w:rsid w:val="30114796"/>
    <w:rsid w:val="305C7746"/>
    <w:rsid w:val="30AC2100"/>
    <w:rsid w:val="30D72FF4"/>
    <w:rsid w:val="30ED7159"/>
    <w:rsid w:val="3104696B"/>
    <w:rsid w:val="31833ADB"/>
    <w:rsid w:val="31F97D80"/>
    <w:rsid w:val="32317519"/>
    <w:rsid w:val="32470E5F"/>
    <w:rsid w:val="32502CE4"/>
    <w:rsid w:val="32727C95"/>
    <w:rsid w:val="32B938A5"/>
    <w:rsid w:val="32C43EEA"/>
    <w:rsid w:val="32EC2057"/>
    <w:rsid w:val="32FA6BE3"/>
    <w:rsid w:val="33501C21"/>
    <w:rsid w:val="34190265"/>
    <w:rsid w:val="34876910"/>
    <w:rsid w:val="34BA268B"/>
    <w:rsid w:val="34CB5E37"/>
    <w:rsid w:val="34F32864"/>
    <w:rsid w:val="351F7AFD"/>
    <w:rsid w:val="357A11D7"/>
    <w:rsid w:val="35B43E66"/>
    <w:rsid w:val="35D419DA"/>
    <w:rsid w:val="3600792F"/>
    <w:rsid w:val="36222CF8"/>
    <w:rsid w:val="36257B38"/>
    <w:rsid w:val="366F6862"/>
    <w:rsid w:val="368E3741"/>
    <w:rsid w:val="36C344B8"/>
    <w:rsid w:val="36C42B50"/>
    <w:rsid w:val="36C96A1E"/>
    <w:rsid w:val="37C8799F"/>
    <w:rsid w:val="38503050"/>
    <w:rsid w:val="38E2156D"/>
    <w:rsid w:val="392F1CA6"/>
    <w:rsid w:val="3962445C"/>
    <w:rsid w:val="39777F08"/>
    <w:rsid w:val="39DA3FF3"/>
    <w:rsid w:val="39EC0E9B"/>
    <w:rsid w:val="3A0B4AF4"/>
    <w:rsid w:val="3A8B6C32"/>
    <w:rsid w:val="3A9577B5"/>
    <w:rsid w:val="3AE710BD"/>
    <w:rsid w:val="3B09449D"/>
    <w:rsid w:val="3B1D42F5"/>
    <w:rsid w:val="3B20012B"/>
    <w:rsid w:val="3B822B94"/>
    <w:rsid w:val="3B950B19"/>
    <w:rsid w:val="3BD2154E"/>
    <w:rsid w:val="3C2D6464"/>
    <w:rsid w:val="3C4E79EB"/>
    <w:rsid w:val="3C7D1CAB"/>
    <w:rsid w:val="3C7E15AD"/>
    <w:rsid w:val="3CA8005B"/>
    <w:rsid w:val="3CC97FFA"/>
    <w:rsid w:val="3D1C4922"/>
    <w:rsid w:val="3D2E70F0"/>
    <w:rsid w:val="3D695D53"/>
    <w:rsid w:val="3D9F0412"/>
    <w:rsid w:val="3DBB413B"/>
    <w:rsid w:val="3DCE3E6E"/>
    <w:rsid w:val="3DFE7108"/>
    <w:rsid w:val="3E173A67"/>
    <w:rsid w:val="3F1123D5"/>
    <w:rsid w:val="3F381EE7"/>
    <w:rsid w:val="3F5D167B"/>
    <w:rsid w:val="3F9279D0"/>
    <w:rsid w:val="405745EF"/>
    <w:rsid w:val="40631654"/>
    <w:rsid w:val="409A76C7"/>
    <w:rsid w:val="40E32BA7"/>
    <w:rsid w:val="41391F47"/>
    <w:rsid w:val="414A16E9"/>
    <w:rsid w:val="419E7725"/>
    <w:rsid w:val="41DD28D2"/>
    <w:rsid w:val="42843695"/>
    <w:rsid w:val="429B42DD"/>
    <w:rsid w:val="4306711C"/>
    <w:rsid w:val="432256C5"/>
    <w:rsid w:val="434D0038"/>
    <w:rsid w:val="43AA611D"/>
    <w:rsid w:val="440D2FBE"/>
    <w:rsid w:val="45155F1E"/>
    <w:rsid w:val="457C4AF8"/>
    <w:rsid w:val="45D4255F"/>
    <w:rsid w:val="462F4F0C"/>
    <w:rsid w:val="463B7DEB"/>
    <w:rsid w:val="464D4CA7"/>
    <w:rsid w:val="469346AA"/>
    <w:rsid w:val="47264B58"/>
    <w:rsid w:val="473730E0"/>
    <w:rsid w:val="473A07C7"/>
    <w:rsid w:val="47B47DA6"/>
    <w:rsid w:val="47C05FC0"/>
    <w:rsid w:val="48D013E2"/>
    <w:rsid w:val="492D6CCC"/>
    <w:rsid w:val="49493A19"/>
    <w:rsid w:val="49625619"/>
    <w:rsid w:val="49F64E79"/>
    <w:rsid w:val="4A1673EF"/>
    <w:rsid w:val="4A9B052E"/>
    <w:rsid w:val="4AA54C44"/>
    <w:rsid w:val="4AB10640"/>
    <w:rsid w:val="4AC724B6"/>
    <w:rsid w:val="4B074E64"/>
    <w:rsid w:val="4B2D570C"/>
    <w:rsid w:val="4B5005B9"/>
    <w:rsid w:val="4BD765E4"/>
    <w:rsid w:val="4BDC1472"/>
    <w:rsid w:val="4C3704EB"/>
    <w:rsid w:val="4C453E95"/>
    <w:rsid w:val="4C6866A3"/>
    <w:rsid w:val="4C8C6676"/>
    <w:rsid w:val="4CBA7A55"/>
    <w:rsid w:val="4D1B26B0"/>
    <w:rsid w:val="4D217B1F"/>
    <w:rsid w:val="4DA56349"/>
    <w:rsid w:val="4E782275"/>
    <w:rsid w:val="4EDE412D"/>
    <w:rsid w:val="4F2D2696"/>
    <w:rsid w:val="4F394A56"/>
    <w:rsid w:val="4FDF42DE"/>
    <w:rsid w:val="4FF1548B"/>
    <w:rsid w:val="503E30D6"/>
    <w:rsid w:val="50BF63F5"/>
    <w:rsid w:val="50E8223F"/>
    <w:rsid w:val="50F16E05"/>
    <w:rsid w:val="51340035"/>
    <w:rsid w:val="51825217"/>
    <w:rsid w:val="51BC1787"/>
    <w:rsid w:val="520E6AD8"/>
    <w:rsid w:val="52151C14"/>
    <w:rsid w:val="525C7843"/>
    <w:rsid w:val="5277467D"/>
    <w:rsid w:val="52AB4326"/>
    <w:rsid w:val="52C673B2"/>
    <w:rsid w:val="52D733C5"/>
    <w:rsid w:val="53040374"/>
    <w:rsid w:val="53073C53"/>
    <w:rsid w:val="53191722"/>
    <w:rsid w:val="535A6478"/>
    <w:rsid w:val="5368590A"/>
    <w:rsid w:val="54624EB9"/>
    <w:rsid w:val="548E5CAE"/>
    <w:rsid w:val="54CA7086"/>
    <w:rsid w:val="5542354C"/>
    <w:rsid w:val="55761405"/>
    <w:rsid w:val="55833339"/>
    <w:rsid w:val="558D45E7"/>
    <w:rsid w:val="559612BE"/>
    <w:rsid w:val="56802824"/>
    <w:rsid w:val="56AB6FEB"/>
    <w:rsid w:val="56D24789"/>
    <w:rsid w:val="570606C5"/>
    <w:rsid w:val="574F3E1A"/>
    <w:rsid w:val="57FB7AFE"/>
    <w:rsid w:val="5860614A"/>
    <w:rsid w:val="5895585D"/>
    <w:rsid w:val="58AE691E"/>
    <w:rsid w:val="58C55D8D"/>
    <w:rsid w:val="591F15CA"/>
    <w:rsid w:val="59CA5ED7"/>
    <w:rsid w:val="59D14FBA"/>
    <w:rsid w:val="59FA6402"/>
    <w:rsid w:val="5A24415A"/>
    <w:rsid w:val="5A353A0F"/>
    <w:rsid w:val="5A6B362F"/>
    <w:rsid w:val="5AB26B9A"/>
    <w:rsid w:val="5AD54636"/>
    <w:rsid w:val="5AE325A8"/>
    <w:rsid w:val="5B127A2F"/>
    <w:rsid w:val="5B2D4472"/>
    <w:rsid w:val="5B7756EE"/>
    <w:rsid w:val="5B9613DD"/>
    <w:rsid w:val="5C0F4E75"/>
    <w:rsid w:val="5C91567E"/>
    <w:rsid w:val="5CDF1780"/>
    <w:rsid w:val="5CED28D3"/>
    <w:rsid w:val="5D0109E4"/>
    <w:rsid w:val="5D0567DF"/>
    <w:rsid w:val="5D2D69AC"/>
    <w:rsid w:val="5D2E1AFC"/>
    <w:rsid w:val="5D5E4DB7"/>
    <w:rsid w:val="5DB6392D"/>
    <w:rsid w:val="5DDC13CF"/>
    <w:rsid w:val="5E0E25BD"/>
    <w:rsid w:val="5E873E9A"/>
    <w:rsid w:val="5E960581"/>
    <w:rsid w:val="5EA018C1"/>
    <w:rsid w:val="5EAA3DA0"/>
    <w:rsid w:val="5EAE7678"/>
    <w:rsid w:val="5EE222A7"/>
    <w:rsid w:val="5EE959B4"/>
    <w:rsid w:val="5EFC272F"/>
    <w:rsid w:val="5F6B5EDA"/>
    <w:rsid w:val="5FDF5FA0"/>
    <w:rsid w:val="5FEF7E71"/>
    <w:rsid w:val="602A2D2E"/>
    <w:rsid w:val="61007F33"/>
    <w:rsid w:val="61E635CD"/>
    <w:rsid w:val="62145FD9"/>
    <w:rsid w:val="621C79EF"/>
    <w:rsid w:val="621F1FA4"/>
    <w:rsid w:val="62485E37"/>
    <w:rsid w:val="62A42440"/>
    <w:rsid w:val="62CE45E1"/>
    <w:rsid w:val="633E7F35"/>
    <w:rsid w:val="636D0E89"/>
    <w:rsid w:val="63BA086D"/>
    <w:rsid w:val="63CB2A7A"/>
    <w:rsid w:val="63FF04F8"/>
    <w:rsid w:val="64575FC2"/>
    <w:rsid w:val="645F5DAB"/>
    <w:rsid w:val="64881D02"/>
    <w:rsid w:val="64A306AB"/>
    <w:rsid w:val="65163E96"/>
    <w:rsid w:val="664405A2"/>
    <w:rsid w:val="668B029F"/>
    <w:rsid w:val="66E373E5"/>
    <w:rsid w:val="67ED7463"/>
    <w:rsid w:val="68376930"/>
    <w:rsid w:val="6853303E"/>
    <w:rsid w:val="686A1299"/>
    <w:rsid w:val="688E2261"/>
    <w:rsid w:val="68AD09A1"/>
    <w:rsid w:val="68E65C61"/>
    <w:rsid w:val="68E87C2B"/>
    <w:rsid w:val="69254518"/>
    <w:rsid w:val="69502176"/>
    <w:rsid w:val="69676DA1"/>
    <w:rsid w:val="698E2580"/>
    <w:rsid w:val="69D66115"/>
    <w:rsid w:val="6A0171F6"/>
    <w:rsid w:val="6A047363"/>
    <w:rsid w:val="6A4610AD"/>
    <w:rsid w:val="6B505529"/>
    <w:rsid w:val="6BD6797D"/>
    <w:rsid w:val="6BDD699C"/>
    <w:rsid w:val="6C400C53"/>
    <w:rsid w:val="6C57134F"/>
    <w:rsid w:val="6C727F44"/>
    <w:rsid w:val="6C800894"/>
    <w:rsid w:val="6CF05300"/>
    <w:rsid w:val="6CFA1CDB"/>
    <w:rsid w:val="6D434ED3"/>
    <w:rsid w:val="6D745F31"/>
    <w:rsid w:val="6DA13AE6"/>
    <w:rsid w:val="6DA34120"/>
    <w:rsid w:val="6DB24BA6"/>
    <w:rsid w:val="6E2C680B"/>
    <w:rsid w:val="6FD27077"/>
    <w:rsid w:val="703D6AAE"/>
    <w:rsid w:val="70D50A94"/>
    <w:rsid w:val="70DC62C7"/>
    <w:rsid w:val="70F948E5"/>
    <w:rsid w:val="71CE4248"/>
    <w:rsid w:val="72616B76"/>
    <w:rsid w:val="727260E7"/>
    <w:rsid w:val="72F922F4"/>
    <w:rsid w:val="7324707C"/>
    <w:rsid w:val="73247AB1"/>
    <w:rsid w:val="732D4BB8"/>
    <w:rsid w:val="734F5D1E"/>
    <w:rsid w:val="735C36EF"/>
    <w:rsid w:val="73AB19CD"/>
    <w:rsid w:val="7428537F"/>
    <w:rsid w:val="748D6665"/>
    <w:rsid w:val="752C65E9"/>
    <w:rsid w:val="7538008B"/>
    <w:rsid w:val="755C1784"/>
    <w:rsid w:val="75BD48B0"/>
    <w:rsid w:val="75E64928"/>
    <w:rsid w:val="761264BA"/>
    <w:rsid w:val="763B75EC"/>
    <w:rsid w:val="769975D4"/>
    <w:rsid w:val="77144946"/>
    <w:rsid w:val="773B12C8"/>
    <w:rsid w:val="7879264D"/>
    <w:rsid w:val="78857244"/>
    <w:rsid w:val="78AC0048"/>
    <w:rsid w:val="78E026CC"/>
    <w:rsid w:val="7A083C89"/>
    <w:rsid w:val="7B111309"/>
    <w:rsid w:val="7B5846B5"/>
    <w:rsid w:val="7B917DA8"/>
    <w:rsid w:val="7BA101AB"/>
    <w:rsid w:val="7BE92CE8"/>
    <w:rsid w:val="7CBF2CB1"/>
    <w:rsid w:val="7CEB5491"/>
    <w:rsid w:val="7D080C7A"/>
    <w:rsid w:val="7D4A4258"/>
    <w:rsid w:val="7D5D6F72"/>
    <w:rsid w:val="7D8A2C07"/>
    <w:rsid w:val="7E2748F9"/>
    <w:rsid w:val="7E2D7518"/>
    <w:rsid w:val="7F252B77"/>
    <w:rsid w:val="7F4C4618"/>
    <w:rsid w:val="7F7B6CAB"/>
    <w:rsid w:val="7F833DB1"/>
    <w:rsid w:val="7FB5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1093</Words>
  <Characters>3109</Characters>
  <Lines>0</Lines>
  <Paragraphs>0</Paragraphs>
  <TotalTime>2</TotalTime>
  <ScaleCrop>false</ScaleCrop>
  <LinksUpToDate>false</LinksUpToDate>
  <CharactersWithSpaces>3515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2024-12-17T02:09:00Z</dcterms:created>
  <dc:creator>Administrator</dc:creator>
  <cp:lastModifiedBy>LiQ</cp:lastModifiedBy>
  <cp:lastPrinted>2024-12-24T01:49:00Z</cp:lastPrinted>
  <dcterms:modified xsi:type="dcterms:W3CDTF">2025-09-01T01:43:11Z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B8317A3071104AC8B3A16C9187FEC9ED_11</vt:lpwstr>
  </property>
  <property fmtid="{D5CDD505-2E9C-101B-9397-08002B2CF9AE}" pid="4" name="KSOTemplateDocerSaveRecord">
    <vt:lpwstr>eyJoZGlkIjoiMTMwY2Y4OTM2NWY2OTViMTU1YjQ1ZWZhMDIyOTA0NzQiLCJ1c2VySWQiOiIxNTMxNjc0NTEwIn0=</vt:lpwstr>
  </property>
</Properties>
</file>